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icencji" id="839088657" name="image1.png"/>
            <a:graphic>
              <a:graphicData uri="http://schemas.openxmlformats.org/drawingml/2006/picture">
                <pic:pic>
                  <pic:nvPicPr>
                    <pic:cNvPr descr="Ciąg licencji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4 do zapytania ofertowego nr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nr 6B/ZGD/PAAP/2026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OŚWIADCZENIE WYKONAWCY </w:t>
      </w:r>
    </w:p>
    <w:p w:rsidR="00000000" w:rsidDel="00000000" w:rsidP="00000000" w:rsidRDefault="00000000" w:rsidRPr="00000000" w14:paraId="00000005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 NIEPODLEGANIU WYKLUCZENIU</w:t>
      </w:r>
    </w:p>
    <w:p w:rsidR="00000000" w:rsidDel="00000000" w:rsidP="00000000" w:rsidRDefault="00000000" w:rsidRPr="00000000" w14:paraId="00000006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karnej za składanie fałszywych zeznań wynikającej z art. 233 § 6 ustawy z dnia 6 czerwca 1997 r. Kodeks karny (Dz. U. z 2022 r. poz. 1138, z późn. zm.)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oświadczam, że jako Wykonawca: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korzystam z pełni praw publicznych;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posiadam pełną zdolność do czynności prawnych;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zostałem/am skazany/a prawomocnym wyrokiem za umyślne przestępstwo lub za umyślne przestępstwo skarbowe o których mowa w art. 108 ust. 1  pkt. 1), 2) i 3) USTAWY z dnia 11 września 2019 r. Prawo zamówień publicznych; 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nie znajduje się w trakcie postępowania upadłościowego ani nie ogłoszono mojej upadłości;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zachodzą w stosunku do mnie przesłanki wykluczenia z postępowania na podstawie z art.7 ust. 1 Ustawy o szczególnych rozwiązaniach w zakresie przeciwdziałaniu wspieraniu agresji na Ukrainę oraz służące ochronie bezpieczeństwa narodowego (Dz.U. poz. 835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 późn. zm.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jako Wykonawca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spełniam przesłanki,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których mowa wyżej.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142.00000000000003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0"/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mam świadomość, iż zgodnie z treścią z art.7 ust.1 ustawy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  <w:rtl w:val="0"/>
        </w:rPr>
        <w:t xml:space="preserve">z postępowania o udzielenie zamówienia publicznego wyklucza się: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 wymienionego w wykazach określonych w rozporządzeniu 765/2006 i rozporządzeniu 269/2014 albo wpisanego na listę na podstawie decyzji  sprawie wpisu na listę rozstrzygającej o zastosowaniu środka, o którym mowa w art. 1 pkt 3 ustawy;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konkursu, którego beneficjentem rzeczywistym w rozumieniu ustawy z dnia 01 marca 2018 r. o przeciwdziałaniu praniu pieniędzy oraz finansowaniu terroryzmu (Dz. U. z 2022 poz. 593 ze zm.) jest osoba wymieniona w wykazach określonych  w rozporządzeniu 765/2006 i rozporządzeniu 269/2014 albo wpisana na listę lub będąca takim beneficjentem rzeczywistym od dnia 24 lutego 2022 r., o ile została wpisana na listę na podstawie decyzji  w sprawie wpisu na listę rozstrzygającej o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zastosowanie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środka, o którym mowa w art.1 pkt 3 ustawy;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konkursu, którego jednostką dominującą w rozumieniu art.3 ust. 1 pkt 37 ustawy z dnia 29 września 1994 r. o rachunkowości (Dz. U. z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2021 r.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poz. 217 ze zm.) jest podmiot wymieniony w wykazach określonych w rozporządzeniu 765/2006 i rozporządzeniu 269/2014 albo wpisany na listę lub będący taką jednostką dominującą od dnia 24 lutego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2022 r.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o ile został wpisany na listę na podstawie decyzji w sprawie wpisu na listę rozstrzygającej  o zastosowaniu środka, o którym mowa w art. 1 ust.3 ustawy.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Wykonawca oraz każda z osób innych niż Wykonawca realizująca zadania w ramach zamówienia lub też podmiot, któremu przekazano w ramach umowy środki na realizację części zamówienia,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nie jest/ nie są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objęci sankcjami, o których mowa wyżej.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Zobowiązuję się do niezwłocznego poinformowania Zamawiającego, tj. Zachodniopomorską Grupę Doradczą Sp. z o.o. o wszelkich okolicznościach, które powodują zaprzestanie spełnienia wymogów, o których mowa w art. 81 ust. 3 ustawy z dnia 28 kwietnia 2022 r. o zasadach realizacji zadań finansowanych ze środków europejskich w perspektywie finansowej 2021–2027.</w:t>
      </w:r>
    </w:p>
    <w:p w:rsidR="00000000" w:rsidDel="00000000" w:rsidP="00000000" w:rsidRDefault="00000000" w:rsidRPr="00000000" w14:paraId="00000018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bookmarkStart w:colFirst="0" w:colLast="0" w:name="_heading=h.w10sud619szt" w:id="0"/>
      <w:bookmarkEnd w:id="0"/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informacje podane w powyższym oświadczeniu są aktualne i zgodne z prawdą oraz zostały przedstawione z pełną świadomością konsekwencji wprowadzenia Zamawiającego w błąd przy przedstawianiu dokumentacji.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22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23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footerReference r:id="rId11" w:type="first"/>
      <w:pgSz w:h="16838" w:w="11906" w:orient="portrait"/>
      <w:pgMar w:bottom="1134" w:top="99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Art. 233 Kodeksu karnego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1. Kto, składając zeznanie mające służyć za dowód w postępowaniu sądowym lub w innym postępowaniu prowadzonym na podstawie ustawy, zeznaje nieprawdę lub zataja prawdę, podlega karze pozbawienia wolności od 6 miesięcy do lat 8. 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1a. Jeżeli sprawca czynu określonego w § 1 zeznaje nieprawdę lub zataja prawdę z obawy przed odpowiedzialnością karną grożącą jemu samemu lub jego najbliższym, podlega karze pozbawienia wolności od 3 miesięcy do lat 5.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2. Warunkiem odpowiedzialności jest, aby przyjmujący zeznanie, działając w zakresie swoich uprawnień, uprzedził zeznającego o odpowiedzialności karnej za fałszywe zeznanie lub odebrał od niego przyrzeczenie. 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3. Nie podlega karze za czyn określony w § 1a, kto składa fałszywe zeznanie, nie wiedząc o prawie odmowy zeznania lub odpowiedzi na pytania. 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4. Kto, jako biegły, rzeczoznawca lub tłumacz, przedstawia fałszywą opinię, ekspertyzę lub tłumaczenie mające służyć za dowód w postępowaniu określonym w § 1, podlega karze pozbawienia wolności od roku do lat 10.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4a. Jeżeli sprawca czynu określonego w § 4 działa nieumyślnie, narażając na istotną szkodę interes publiczny, podlega karze pozbawienia wolności do lat 3.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5. Sąd może zastosować nadzwyczajne złagodzenie kary, a nawet odstąpić od jej wymierzenia, jeżeli: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850" w:hanging="28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1) fałszywe zeznanie, opinia, ekspertyza lub tłumaczenie dotyczy okoliczności niemogących mieć wpływu na rozstrzygnięcie sprawy, 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850" w:hanging="28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2) sprawca dobrowolnie sprostuje fałszywe zeznanie, opinię, ekspertyzę lub tłumaczenie, zanim nastąpi, chociażby nieprawomocne, rozstrzygnięcie sprawy.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70" w:hanging="57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6. Przepisy § 1–3 oraz 5 stosuje się odpowiednio do osoby, która składa fałszywe oświadczenie, jeżeli przepis ustawy przewiduje możliwość odebrania oświadczenia pod rygorem odpowiedzialności karnej.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14.399999999999999" w:lineRule="auto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Roboto" w:cs="Roboto" w:eastAsia="Roboto" w:hAnsi="Roboto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upperRoman"/>
      <w:lvlText w:val="%1."/>
      <w:lvlJc w:val="right"/>
      <w:pPr>
        <w:ind w:left="502" w:hanging="360"/>
      </w:pPr>
      <w:rPr>
        <w:b w:val="0"/>
        <w:bCs w:val="0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/>
    </w:lvl>
    <w:lvl w:ilvl="3">
      <w:start w:val="1"/>
      <w:numFmt w:val="decimal"/>
      <w:lvlText w:val="%1.%2.%3.%4."/>
      <w:lvlJc w:val="left"/>
      <w:pPr>
        <w:ind w:left="1840" w:hanging="1080"/>
      </w:pPr>
      <w:rPr/>
    </w:lvl>
    <w:lvl w:ilvl="4">
      <w:start w:val="1"/>
      <w:numFmt w:val="decimal"/>
      <w:lvlText w:val="%1.%2.%3.%4.%5."/>
      <w:lvlJc w:val="left"/>
      <w:pPr>
        <w:ind w:left="1840" w:hanging="1080"/>
      </w:pPr>
      <w:rPr/>
    </w:lvl>
    <w:lvl w:ilvl="5">
      <w:start w:val="1"/>
      <w:numFmt w:val="decimal"/>
      <w:lvlText w:val="%1.%2.%3.%4.%5.%6."/>
      <w:lvlJc w:val="left"/>
      <w:pPr>
        <w:ind w:left="2200" w:hanging="1440"/>
      </w:pPr>
      <w:rPr/>
    </w:lvl>
    <w:lvl w:ilvl="6">
      <w:start w:val="1"/>
      <w:numFmt w:val="decimal"/>
      <w:lvlText w:val="%1.%2.%3.%4.%5.%6.%7."/>
      <w:lvlJc w:val="left"/>
      <w:pPr>
        <w:ind w:left="2560" w:hanging="1800"/>
      </w:pPr>
      <w:rPr/>
    </w:lvl>
    <w:lvl w:ilvl="7">
      <w:start w:val="1"/>
      <w:numFmt w:val="decimal"/>
      <w:lvlText w:val="%1.%2.%3.%4.%5.%6.%7.%8."/>
      <w:lvlJc w:val="left"/>
      <w:pPr>
        <w:ind w:left="2560" w:hanging="1800"/>
      </w:pPr>
      <w:rPr/>
    </w:lvl>
    <w:lvl w:ilvl="8">
      <w:start w:val="1"/>
      <w:numFmt w:val="decimal"/>
      <w:lvlText w:val="%1.%2.%3.%4.%5.%6.%7.%8.%9."/>
      <w:lvlJc w:val="left"/>
      <w:pPr>
        <w:ind w:left="2920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1440" w:hanging="36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1Znak" w:customStyle="1">
    <w:name w:val="Nagłówek 1 Znak"/>
    <w:basedOn w:val="Domylnaczcionkaakapitu"/>
    <w:link w:val="Nagwek1"/>
    <w:uiPriority w:val="9"/>
    <w:rsid w:val="00570DCB"/>
    <w:rPr>
      <w:rFonts w:ascii="Calibri" w:cs="Calibri" w:eastAsia="Calibri" w:hAnsi="Calibri"/>
      <w:b w:val="1"/>
      <w:bCs w:val="1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 w:val="1"/>
    <w:rsid w:val="00570DCB"/>
    <w:pPr>
      <w:widowControl w:val="0"/>
      <w:autoSpaceDE w:val="0"/>
      <w:autoSpaceDN w:val="0"/>
      <w:spacing w:after="0" w:line="240" w:lineRule="auto"/>
    </w:pPr>
    <w:rPr>
      <w:sz w:val="24"/>
      <w:szCs w:val="24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570DCB"/>
    <w:rPr>
      <w:rFonts w:ascii="Calibri" w:cs="Calibri" w:eastAsia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 w:val="1"/>
    <w:rsid w:val="00570DCB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rsid w:val="00570D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570DCB"/>
    <w:rPr>
      <w:vertAlign w:val="superscript"/>
    </w:rPr>
  </w:style>
  <w:style w:type="paragraph" w:styleId="Default" w:customStyle="1">
    <w:name w:val="Default"/>
    <w:rsid w:val="00F16E02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table" w:styleId="Tabela-Siatka">
    <w:name w:val="Table Grid"/>
    <w:basedOn w:val="Standardowy"/>
    <w:rsid w:val="00F16E0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aliases w:val="Numerowanie,Kolorowa lista — akcent 11,Akapit z listą BS,List Paragraph,Nag 1,Akapit z listą1,Lista PR"/>
    <w:basedOn w:val="Normalny"/>
    <w:link w:val="AkapitzlistZnak"/>
    <w:uiPriority w:val="34"/>
    <w:qFormat w:val="1"/>
    <w:rsid w:val="00F16E02"/>
    <w:pPr>
      <w:ind w:left="720"/>
      <w:contextualSpacing w:val="1"/>
    </w:pPr>
  </w:style>
  <w:style w:type="character" w:styleId="Hipercze">
    <w:name w:val="Hyperlink"/>
    <w:basedOn w:val="Domylnaczcionkaakapitu"/>
    <w:uiPriority w:val="99"/>
    <w:unhideWhenUsed w:val="1"/>
    <w:rsid w:val="005D06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5D0629"/>
    <w:rPr>
      <w:color w:val="605e5c"/>
      <w:shd w:color="auto" w:fill="e1dfdd" w:val="clear"/>
    </w:rPr>
  </w:style>
  <w:style w:type="character" w:styleId="AkapitzlistZnak" w:customStyle="1">
    <w:name w:val="Akapit z listą Znak"/>
    <w:aliases w:val="Numerowanie Znak,Kolorowa lista — akcent 11 Znak,Akapit z listą BS Znak,List Paragraph Znak,Nag 1 Znak,Akapit z listą1 Znak,Lista PR Znak"/>
    <w:link w:val="Akapitzlist"/>
    <w:uiPriority w:val="34"/>
    <w:locked w:val="1"/>
    <w:rsid w:val="004577D7"/>
  </w:style>
  <w:style w:type="character" w:styleId="UyteHipercze">
    <w:name w:val="FollowedHyperlink"/>
    <w:basedOn w:val="Domylnaczcionkaakapitu"/>
    <w:uiPriority w:val="99"/>
    <w:semiHidden w:val="1"/>
    <w:unhideWhenUsed w:val="1"/>
    <w:rsid w:val="00CE0805"/>
    <w:rPr>
      <w:color w:val="954f72" w:themeColor="followedHyperlink"/>
      <w:u w:val="single"/>
    </w:rPr>
  </w:style>
  <w:style w:type="paragraph" w:styleId="Poprawka">
    <w:name w:val="Revision"/>
    <w:hidden w:val="1"/>
    <w:uiPriority w:val="99"/>
    <w:semiHidden w:val="1"/>
    <w:rsid w:val="001C3E2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F025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F0252D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F025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0252D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0252D"/>
    <w:rPr>
      <w:b w:val="1"/>
      <w:bCs w:val="1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 w:val="1"/>
    <w:rsid w:val="00CA5435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A5435"/>
  </w:style>
  <w:style w:type="paragraph" w:styleId="Stopka">
    <w:name w:val="footer"/>
    <w:basedOn w:val="Normalny"/>
    <w:link w:val="StopkaZnak"/>
    <w:uiPriority w:val="99"/>
    <w:unhideWhenUsed w:val="1"/>
    <w:rsid w:val="00CA5435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A5435"/>
  </w:style>
  <w:style w:type="paragraph" w:styleId="Zawartotabeli" w:customStyle="1">
    <w:name w:val="Zawartość tabeli"/>
    <w:basedOn w:val="Normalny"/>
    <w:rsid w:val="009640FC"/>
    <w:pPr>
      <w:suppressLineNumbers w:val="1"/>
      <w:suppressAutoHyphens w:val="1"/>
      <w:spacing w:after="200" w:line="276" w:lineRule="auto"/>
    </w:pPr>
    <w:rPr>
      <w:rFonts w:cs="Times New Roman"/>
      <w:lang w:eastAsia="ar-SA"/>
    </w:rPr>
  </w:style>
  <w:style w:type="table" w:styleId="a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rfGFS96k9zZQzY9Q9KThpAeRiw==">CgMxLjAyDmgudzEwc3VkNjE5c3p0OAByITFWbGw3dUs0RHlaVmxqQ05zSGZ4dWxxdm9MVjkyUkxxYw==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2026-01-09T13:55:00Z</dcterms:created>
  <dc:creator>Klaudia Rzeczkowska</dc:creator>
</cp:coreProperties>
</file>